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Goals “It’s Just You and Me God”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Bible Study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~Student Edition~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lessons covering what it means to have a relationship with God and the depth behind it.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Answering the question…what is it like to have a relationship with God?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Opening statement and Verse: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From here on…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Section 1: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God and Me. The Equation for Salvation.                         Highlight = what’s covered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is God? a.).........pg 6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Who am I to God? b.).........pg 14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Relationship goals/path to salvation. c.).........pg 21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2: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way I walk.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Building blocks. a.)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God’s inspiration. b.)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Spirit vs the flesh. c.)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3: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Stay With It!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Endurance. c.)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Perseverance. b.)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Grit . c.)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Section 4: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Faith.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Power. a.)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Confidence. b.)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Dependence. c.)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Vulnerability. d.)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Closing statement: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Journey!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From Here On,</w:t>
      </w:r>
    </w:p>
    <w:p w:rsidR="00000000" w:rsidDel="00000000" w:rsidP="00000000" w:rsidRDefault="00000000" w:rsidRPr="00000000" w14:paraId="0000003D">
      <w:pPr>
        <w:rPr>
          <w:rFonts w:ascii="Spectral" w:cs="Spectral" w:eastAsia="Spectral" w:hAnsi="Spectral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From here on, I have a decision to make. Everything from here on is my choice. How I apply this study and the content within it, is up to me. I am responsible. I know this road won’t be easy but it will be worth it in the end. This is a personal commitment— whichever way I choose to go. From here on, I will look at myself squarely and make it plain, I am not perfect. I will make mistakes. I will struggle sometimes. I will need help, comfort, and attention. From here on, I will try; no more excuses; no more. I will not limit myself to where I am right now. From here on, it’s just you and me God.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0"/>
          <w:szCs w:val="60"/>
          <w:rtl w:val="0"/>
        </w:rPr>
        <w:t xml:space="preserve">Section 1: </w:t>
      </w: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God and Me… The Equation for Salvation</w:t>
      </w:r>
    </w:p>
    <w:p w:rsidR="00000000" w:rsidDel="00000000" w:rsidP="00000000" w:rsidRDefault="00000000" w:rsidRPr="00000000" w14:paraId="0000005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 introduction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God and Me…The Equation for Salvation.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Psalm 100:1-5 (KJV)</w:t>
      </w:r>
    </w:p>
    <w:p w:rsidR="00000000" w:rsidDel="00000000" w:rsidP="00000000" w:rsidRDefault="00000000" w:rsidRPr="00000000" w14:paraId="00000071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2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ab/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Make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a joyful noise unto the Lord, all ye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lands.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Serve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the Lord with gladness: come before his presence with singing.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Know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ye that the Lord he is God: it is he that hath made us and not we ourselves; we are his people, and the sheep of his pasture.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Enter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into his gates with thanksgiving, and into his courts with praise: be thankful unto him, and bless his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name.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For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 the Lord is good; his mercy is everlasting; and his truth endureth to all generations.</w:t>
      </w:r>
    </w:p>
    <w:p w:rsidR="00000000" w:rsidDel="00000000" w:rsidP="00000000" w:rsidRDefault="00000000" w:rsidRPr="00000000" w14:paraId="00000073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Proverbs 3:5-6 (KJV)</w:t>
      </w:r>
    </w:p>
    <w:p w:rsidR="00000000" w:rsidDel="00000000" w:rsidP="00000000" w:rsidRDefault="00000000" w:rsidRPr="00000000" w14:paraId="00000075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ab/>
        <w:t xml:space="preserve">Trust in the Lord with all thine heart; and lean not unto thine own understanding. 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vertAlign w:val="superscript"/>
          <w:rtl w:val="0"/>
        </w:rPr>
        <w:t xml:space="preserve">6</w:t>
      </w: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In all thy ways acknowledge him; and he shall direct thy paths.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Without ______________ this is not possible. </w:t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question that often pounds at the door of these statements is: 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should I take ______________  to get to know God?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should I use my ______________  to actively seek something I can’t see?</w:t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should I put the ______________  into trying?</w:t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What’s the point of having a relationship with ______________?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What’s the point of having a relationship with ______________? (is there a difference?)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relationship is the way in which two or more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or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or in other words, the state if being connected. 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all have a relationship with God. We do. But on which end of the spectrum? 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Are we standing in 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with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God, or…Are we standing in ______________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against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him?</w:t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either live ______________  and ______________  God or ______________  and ______________  him.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is NO _________________ . But this does not negate the fact that it’s an ______________  ______________  we must undergo daily.</w:t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Three core principles to mark: 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time for the things you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about.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what you serve.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You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for every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you make…nothing is left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Proverbs 3:7-8 (KJV)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 not wise in thine own eyes: Fear the Lord, and depart from evil.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shall be health to thy navel, and marrow to thy bones. 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Proverbs 3:7-8 (NIV)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not be wise in your own eyes; fear the Lord and shun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 bring health to your body and nourishment to your bones.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Spectra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tral-regular.ttf"/><Relationship Id="rId2" Type="http://schemas.openxmlformats.org/officeDocument/2006/relationships/font" Target="fonts/Spectral-bold.ttf"/><Relationship Id="rId3" Type="http://schemas.openxmlformats.org/officeDocument/2006/relationships/font" Target="fonts/Spectral-italic.ttf"/><Relationship Id="rId4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